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503" w:rsidRDefault="00411503" w:rsidP="00411503">
      <w:pPr>
        <w:widowControl/>
        <w:shd w:val="clear" w:color="auto" w:fill="FFFFFF"/>
        <w:jc w:val="left"/>
      </w:pPr>
      <w:r>
        <w:rPr>
          <w:rFonts w:hint="eastAsia"/>
        </w:rPr>
        <w:t>附件2</w:t>
      </w:r>
    </w:p>
    <w:p w:rsidR="00411503" w:rsidRDefault="00411503" w:rsidP="00411503">
      <w:pPr>
        <w:spacing w:line="360" w:lineRule="auto"/>
        <w:jc w:val="center"/>
        <w:rPr>
          <w:rFonts w:ascii="华文中宋" w:eastAsia="华文中宋" w:hAnsi="华文中宋"/>
          <w:sz w:val="36"/>
          <w:szCs w:val="36"/>
        </w:rPr>
      </w:pPr>
      <w:bookmarkStart w:id="0" w:name="OLE_LINK3"/>
      <w:bookmarkStart w:id="1" w:name="OLE_LINK4"/>
      <w:r w:rsidRPr="00D3295C">
        <w:rPr>
          <w:rFonts w:ascii="华文中宋" w:eastAsia="华文中宋" w:hAnsi="华文中宋" w:hint="eastAsia"/>
          <w:sz w:val="36"/>
          <w:szCs w:val="36"/>
        </w:rPr>
        <w:t>上海</w:t>
      </w:r>
      <w:r>
        <w:rPr>
          <w:rFonts w:ascii="华文中宋" w:eastAsia="华文中宋" w:hAnsi="华文中宋" w:hint="eastAsia"/>
          <w:sz w:val="36"/>
          <w:szCs w:val="36"/>
        </w:rPr>
        <w:t>理工大学</w:t>
      </w:r>
      <w:r w:rsidRPr="00D3295C">
        <w:rPr>
          <w:rFonts w:ascii="华文中宋" w:eastAsia="华文中宋" w:hAnsi="华文中宋" w:hint="eastAsia"/>
          <w:sz w:val="36"/>
          <w:szCs w:val="36"/>
        </w:rPr>
        <w:t>仪器共享服务案例</w:t>
      </w:r>
      <w:bookmarkEnd w:id="0"/>
      <w:bookmarkEnd w:id="1"/>
      <w:r>
        <w:rPr>
          <w:rFonts w:ascii="华文中宋" w:eastAsia="华文中宋" w:hAnsi="华文中宋" w:hint="eastAsia"/>
          <w:sz w:val="36"/>
          <w:szCs w:val="36"/>
        </w:rPr>
        <w:t>（范本）</w:t>
      </w:r>
    </w:p>
    <w:p w:rsidR="00411503" w:rsidRPr="00D3295C" w:rsidRDefault="00411503" w:rsidP="00411503">
      <w:pPr>
        <w:spacing w:line="360" w:lineRule="auto"/>
        <w:jc w:val="center"/>
        <w:rPr>
          <w:rFonts w:ascii="华文中宋" w:eastAsia="华文中宋" w:hAnsi="华文中宋"/>
          <w:sz w:val="36"/>
          <w:szCs w:val="36"/>
        </w:rPr>
      </w:pPr>
    </w:p>
    <w:p w:rsidR="00411503" w:rsidRPr="00D3295C" w:rsidRDefault="00411503" w:rsidP="00411503">
      <w:pPr>
        <w:widowControl/>
        <w:adjustRightInd w:val="0"/>
        <w:snapToGrid w:val="0"/>
        <w:spacing w:line="360" w:lineRule="auto"/>
        <w:ind w:firstLineChars="196" w:firstLine="470"/>
        <w:jc w:val="left"/>
        <w:rPr>
          <w:rFonts w:ascii="华文中宋" w:eastAsia="华文中宋" w:hAnsi="华文中宋" w:cs="宋体"/>
          <w:color w:val="000000"/>
          <w:kern w:val="0"/>
          <w:sz w:val="24"/>
          <w:szCs w:val="21"/>
        </w:rPr>
      </w:pPr>
      <w:r w:rsidRPr="00D3295C">
        <w:rPr>
          <w:rFonts w:ascii="华文中宋" w:eastAsia="华文中宋" w:hAnsi="华文中宋" w:cs="宋体" w:hint="eastAsia"/>
          <w:kern w:val="0"/>
          <w:sz w:val="24"/>
        </w:rPr>
        <w:t>世界之最的长</w:t>
      </w:r>
      <w:smartTag w:uri="urn:schemas-microsoft-com:office:smarttags" w:element="chmetcnv">
        <w:smartTagPr>
          <w:attr w:name="TCSC" w:val="0"/>
          <w:attr w:name="NumberType" w:val="1"/>
          <w:attr w:name="Negative" w:val="False"/>
          <w:attr w:name="HasSpace" w:val="False"/>
          <w:attr w:name="SourceValue" w:val="32.5"/>
          <w:attr w:name="UnitName" w:val="公里"/>
        </w:smartTagPr>
        <w:r w:rsidRPr="00D3295C">
          <w:rPr>
            <w:rFonts w:ascii="华文中宋" w:eastAsia="华文中宋" w:hAnsi="华文中宋" w:hint="eastAsia"/>
            <w:kern w:val="0"/>
            <w:sz w:val="24"/>
          </w:rPr>
          <w:t>32.5</w:t>
        </w:r>
        <w:r w:rsidRPr="00D3295C">
          <w:rPr>
            <w:rFonts w:ascii="华文中宋" w:eastAsia="华文中宋" w:hAnsi="华文中宋" w:cs="宋体" w:hint="eastAsia"/>
            <w:kern w:val="0"/>
            <w:sz w:val="24"/>
          </w:rPr>
          <w:t>公里</w:t>
        </w:r>
      </w:smartTag>
      <w:r>
        <w:rPr>
          <w:rFonts w:ascii="华文中宋" w:eastAsia="华文中宋" w:hAnsi="华文中宋" w:cs="宋体" w:hint="eastAsia"/>
          <w:kern w:val="0"/>
          <w:sz w:val="24"/>
        </w:rPr>
        <w:t>X</w:t>
      </w:r>
      <w:r>
        <w:rPr>
          <w:rFonts w:ascii="华文中宋" w:eastAsia="华文中宋" w:hAnsi="华文中宋" w:cs="宋体"/>
          <w:kern w:val="0"/>
          <w:sz w:val="24"/>
        </w:rPr>
        <w:t>XX</w:t>
      </w:r>
      <w:r w:rsidRPr="00D3295C">
        <w:rPr>
          <w:rFonts w:ascii="华文中宋" w:eastAsia="华文中宋" w:hAnsi="华文中宋" w:cs="宋体" w:hint="eastAsia"/>
          <w:color w:val="000000"/>
          <w:kern w:val="0"/>
          <w:sz w:val="24"/>
          <w:szCs w:val="21"/>
        </w:rPr>
        <w:t>大</w:t>
      </w:r>
      <w:r w:rsidRPr="00D3295C">
        <w:rPr>
          <w:rFonts w:ascii="华文中宋" w:eastAsia="华文中宋" w:hAnsi="华文中宋" w:cs="宋体" w:hint="eastAsia"/>
          <w:kern w:val="0"/>
          <w:sz w:val="24"/>
        </w:rPr>
        <w:t>桥和长</w:t>
      </w:r>
      <w:smartTag w:uri="urn:schemas-microsoft-com:office:smarttags" w:element="chmetcnv">
        <w:smartTagPr>
          <w:attr w:name="TCSC" w:val="0"/>
          <w:attr w:name="NumberType" w:val="1"/>
          <w:attr w:name="Negative" w:val="False"/>
          <w:attr w:name="HasSpace" w:val="False"/>
          <w:attr w:name="SourceValue" w:val="36"/>
          <w:attr w:name="UnitName" w:val="公里"/>
        </w:smartTagPr>
        <w:r w:rsidRPr="00D3295C">
          <w:rPr>
            <w:rFonts w:ascii="华文中宋" w:eastAsia="华文中宋" w:hAnsi="华文中宋" w:hint="eastAsia"/>
            <w:kern w:val="0"/>
            <w:sz w:val="24"/>
          </w:rPr>
          <w:t>36</w:t>
        </w:r>
        <w:r w:rsidRPr="00D3295C">
          <w:rPr>
            <w:rFonts w:ascii="华文中宋" w:eastAsia="华文中宋" w:hAnsi="华文中宋" w:cs="宋体" w:hint="eastAsia"/>
            <w:kern w:val="0"/>
            <w:sz w:val="24"/>
          </w:rPr>
          <w:t>公里</w:t>
        </w:r>
      </w:smartTag>
      <w:r>
        <w:rPr>
          <w:rFonts w:ascii="华文中宋" w:eastAsia="华文中宋" w:hAnsi="华文中宋" w:cs="宋体" w:hint="eastAsia"/>
          <w:color w:val="000000"/>
          <w:kern w:val="0"/>
          <w:sz w:val="24"/>
          <w:szCs w:val="21"/>
        </w:rPr>
        <w:t>X</w:t>
      </w:r>
      <w:r>
        <w:rPr>
          <w:rFonts w:ascii="华文中宋" w:eastAsia="华文中宋" w:hAnsi="华文中宋" w:cs="宋体"/>
          <w:color w:val="000000"/>
          <w:kern w:val="0"/>
          <w:sz w:val="24"/>
          <w:szCs w:val="21"/>
        </w:rPr>
        <w:t>X</w:t>
      </w:r>
      <w:r w:rsidRPr="00D3295C">
        <w:rPr>
          <w:rFonts w:ascii="华文中宋" w:eastAsia="华文中宋" w:hAnsi="华文中宋" w:cs="宋体" w:hint="eastAsia"/>
          <w:color w:val="000000"/>
          <w:kern w:val="0"/>
          <w:sz w:val="24"/>
          <w:szCs w:val="21"/>
        </w:rPr>
        <w:t>大桥</w:t>
      </w:r>
      <w:r w:rsidRPr="00D3295C">
        <w:rPr>
          <w:rFonts w:ascii="华文中宋" w:eastAsia="华文中宋" w:hAnsi="华文中宋" w:cs="宋体" w:hint="eastAsia"/>
          <w:kern w:val="0"/>
          <w:sz w:val="24"/>
        </w:rPr>
        <w:t>各有深浸在海水中钢管桩</w:t>
      </w:r>
      <w:r w:rsidRPr="00D3295C">
        <w:rPr>
          <w:rFonts w:ascii="华文中宋" w:eastAsia="华文中宋" w:hAnsi="华文中宋" w:hint="eastAsia"/>
          <w:kern w:val="0"/>
          <w:sz w:val="24"/>
        </w:rPr>
        <w:t>5697</w:t>
      </w:r>
      <w:r w:rsidRPr="00D3295C">
        <w:rPr>
          <w:rFonts w:ascii="华文中宋" w:eastAsia="华文中宋" w:hAnsi="华文中宋" w:cs="宋体" w:hint="eastAsia"/>
          <w:kern w:val="0"/>
          <w:sz w:val="24"/>
        </w:rPr>
        <w:t>根</w:t>
      </w:r>
      <w:r w:rsidRPr="00D3295C">
        <w:rPr>
          <w:rFonts w:ascii="华文中宋" w:eastAsia="华文中宋" w:hAnsi="华文中宋" w:cs="宋体" w:hint="eastAsia"/>
          <w:color w:val="000000"/>
          <w:kern w:val="0"/>
          <w:sz w:val="24"/>
          <w:szCs w:val="21"/>
        </w:rPr>
        <w:t>及5474根，因此在海</w:t>
      </w:r>
      <w:bookmarkStart w:id="2" w:name="_GoBack"/>
      <w:bookmarkEnd w:id="2"/>
      <w:r w:rsidRPr="00D3295C">
        <w:rPr>
          <w:rFonts w:ascii="华文中宋" w:eastAsia="华文中宋" w:hAnsi="华文中宋" w:cs="宋体" w:hint="eastAsia"/>
          <w:color w:val="000000"/>
          <w:kern w:val="0"/>
          <w:sz w:val="24"/>
          <w:szCs w:val="21"/>
        </w:rPr>
        <w:t>水日积月累的腐蚀下，能否确保大桥100年的寿命？国际上主要采用富裕余量法，如每10年损耗</w:t>
      </w:r>
      <w:smartTag w:uri="urn:schemas-microsoft-com:office:smarttags" w:element="chmetcnv">
        <w:smartTagPr>
          <w:attr w:name="TCSC" w:val="0"/>
          <w:attr w:name="NumberType" w:val="1"/>
          <w:attr w:name="Negative" w:val="False"/>
          <w:attr w:name="HasSpace" w:val="False"/>
          <w:attr w:name="SourceValue" w:val="2"/>
          <w:attr w:name="UnitName" w:val="毫米"/>
        </w:smartTagPr>
        <w:r w:rsidRPr="00D3295C">
          <w:rPr>
            <w:rFonts w:ascii="华文中宋" w:eastAsia="华文中宋" w:hAnsi="华文中宋" w:cs="宋体" w:hint="eastAsia"/>
            <w:color w:val="000000"/>
            <w:kern w:val="0"/>
            <w:sz w:val="24"/>
            <w:szCs w:val="21"/>
          </w:rPr>
          <w:t>2毫米</w:t>
        </w:r>
      </w:smartTag>
      <w:r w:rsidRPr="00D3295C">
        <w:rPr>
          <w:rFonts w:ascii="华文中宋" w:eastAsia="华文中宋" w:hAnsi="华文中宋" w:cs="宋体" w:hint="eastAsia"/>
          <w:color w:val="000000"/>
          <w:kern w:val="0"/>
          <w:sz w:val="24"/>
          <w:szCs w:val="21"/>
        </w:rPr>
        <w:t>的钢板，100年就增加</w:t>
      </w:r>
      <w:smartTag w:uri="urn:schemas-microsoft-com:office:smarttags" w:element="chmetcnv">
        <w:smartTagPr>
          <w:attr w:name="TCSC" w:val="0"/>
          <w:attr w:name="NumberType" w:val="1"/>
          <w:attr w:name="Negative" w:val="False"/>
          <w:attr w:name="HasSpace" w:val="False"/>
          <w:attr w:name="SourceValue" w:val="20"/>
          <w:attr w:name="UnitName" w:val="毫米"/>
        </w:smartTagPr>
        <w:r w:rsidRPr="00D3295C">
          <w:rPr>
            <w:rFonts w:ascii="华文中宋" w:eastAsia="华文中宋" w:hAnsi="华文中宋" w:cs="宋体" w:hint="eastAsia"/>
            <w:color w:val="000000"/>
            <w:kern w:val="0"/>
            <w:sz w:val="24"/>
            <w:szCs w:val="21"/>
          </w:rPr>
          <w:t>20毫米</w:t>
        </w:r>
      </w:smartTag>
      <w:r w:rsidRPr="00D3295C">
        <w:rPr>
          <w:rFonts w:ascii="华文中宋" w:eastAsia="华文中宋" w:hAnsi="华文中宋" w:cs="宋体" w:hint="eastAsia"/>
          <w:color w:val="000000"/>
          <w:kern w:val="0"/>
          <w:sz w:val="24"/>
          <w:szCs w:val="21"/>
        </w:rPr>
        <w:t>的厚度。然而两桥钢管桩，</w:t>
      </w:r>
      <w:r w:rsidRPr="00D3295C">
        <w:rPr>
          <w:rFonts w:ascii="华文中宋" w:eastAsia="华文中宋" w:hAnsi="华文中宋" w:cs="宋体" w:hint="eastAsia"/>
          <w:kern w:val="0"/>
          <w:sz w:val="24"/>
        </w:rPr>
        <w:t>最大直径</w:t>
      </w:r>
      <w:smartTag w:uri="urn:schemas-microsoft-com:office:smarttags" w:element="chmetcnv">
        <w:smartTagPr>
          <w:attr w:name="TCSC" w:val="0"/>
          <w:attr w:name="NumberType" w:val="1"/>
          <w:attr w:name="Negative" w:val="False"/>
          <w:attr w:name="HasSpace" w:val="False"/>
          <w:attr w:name="SourceValue" w:val="1.6"/>
          <w:attr w:name="UnitName" w:val="米"/>
        </w:smartTagPr>
        <w:r w:rsidRPr="00D3295C">
          <w:rPr>
            <w:rFonts w:ascii="华文中宋" w:eastAsia="华文中宋" w:hAnsi="华文中宋" w:hint="eastAsia"/>
            <w:kern w:val="0"/>
            <w:sz w:val="24"/>
          </w:rPr>
          <w:t>1.6</w:t>
        </w:r>
        <w:r w:rsidRPr="00D3295C">
          <w:rPr>
            <w:rFonts w:ascii="华文中宋" w:eastAsia="华文中宋" w:hAnsi="华文中宋" w:cs="宋体" w:hint="eastAsia"/>
            <w:kern w:val="0"/>
            <w:sz w:val="24"/>
          </w:rPr>
          <w:t>米</w:t>
        </w:r>
      </w:smartTag>
      <w:r w:rsidRPr="00D3295C">
        <w:rPr>
          <w:rFonts w:ascii="华文中宋" w:eastAsia="华文中宋" w:hAnsi="华文中宋" w:cs="宋体" w:hint="eastAsia"/>
          <w:kern w:val="0"/>
          <w:sz w:val="24"/>
        </w:rPr>
        <w:t>，</w:t>
      </w:r>
      <w:r w:rsidRPr="00D3295C">
        <w:rPr>
          <w:rFonts w:ascii="华文中宋" w:eastAsia="华文中宋" w:hAnsi="华文中宋" w:cs="宋体" w:hint="eastAsia"/>
          <w:color w:val="000000"/>
          <w:kern w:val="0"/>
          <w:sz w:val="24"/>
          <w:szCs w:val="21"/>
        </w:rPr>
        <w:t>深度约为60～</w:t>
      </w:r>
      <w:smartTag w:uri="urn:schemas-microsoft-com:office:smarttags" w:element="chmetcnv">
        <w:smartTagPr>
          <w:attr w:name="TCSC" w:val="0"/>
          <w:attr w:name="NumberType" w:val="1"/>
          <w:attr w:name="Negative" w:val="False"/>
          <w:attr w:name="HasSpace" w:val="False"/>
          <w:attr w:name="SourceValue" w:val="89"/>
          <w:attr w:name="UnitName" w:val="米"/>
        </w:smartTagPr>
        <w:r w:rsidRPr="00D3295C">
          <w:rPr>
            <w:rFonts w:ascii="华文中宋" w:eastAsia="华文中宋" w:hAnsi="华文中宋" w:cs="宋体" w:hint="eastAsia"/>
            <w:color w:val="000000"/>
            <w:kern w:val="0"/>
            <w:sz w:val="24"/>
            <w:szCs w:val="21"/>
          </w:rPr>
          <w:t>89米</w:t>
        </w:r>
      </w:smartTag>
      <w:r w:rsidRPr="00D3295C">
        <w:rPr>
          <w:rFonts w:ascii="华文中宋" w:eastAsia="华文中宋" w:hAnsi="华文中宋" w:cs="宋体" w:hint="eastAsia"/>
          <w:color w:val="000000"/>
          <w:kern w:val="0"/>
          <w:sz w:val="24"/>
          <w:szCs w:val="21"/>
        </w:rPr>
        <w:t>；这样一来不仅大大增加了钢材的使用量，也对卷制焊接钢管等工艺提出了异常高的要求。</w:t>
      </w:r>
    </w:p>
    <w:p w:rsidR="00411503" w:rsidRPr="00D3295C" w:rsidRDefault="00411503" w:rsidP="00411503">
      <w:pPr>
        <w:widowControl/>
        <w:adjustRightInd w:val="0"/>
        <w:snapToGrid w:val="0"/>
        <w:spacing w:line="360" w:lineRule="auto"/>
        <w:ind w:firstLineChars="196" w:firstLine="470"/>
        <w:jc w:val="left"/>
        <w:rPr>
          <w:rFonts w:ascii="华文中宋" w:eastAsia="华文中宋" w:hAnsi="华文中宋" w:cs="宋体"/>
          <w:kern w:val="0"/>
          <w:sz w:val="24"/>
        </w:rPr>
      </w:pPr>
      <w:r w:rsidRPr="00D3295C">
        <w:rPr>
          <w:rFonts w:ascii="华文中宋" w:eastAsia="华文中宋" w:hAnsi="华文中宋" w:cs="宋体" w:hint="eastAsia"/>
          <w:color w:val="000000"/>
          <w:kern w:val="0"/>
          <w:sz w:val="24"/>
          <w:szCs w:val="21"/>
        </w:rPr>
        <w:t>上海</w:t>
      </w:r>
      <w:r>
        <w:rPr>
          <w:rFonts w:ascii="华文中宋" w:eastAsia="华文中宋" w:hAnsi="华文中宋" w:cs="宋体" w:hint="eastAsia"/>
          <w:color w:val="000000"/>
          <w:kern w:val="0"/>
          <w:sz w:val="24"/>
          <w:szCs w:val="21"/>
        </w:rPr>
        <w:t>理工大学X</w:t>
      </w:r>
      <w:r>
        <w:rPr>
          <w:rFonts w:ascii="华文中宋" w:eastAsia="华文中宋" w:hAnsi="华文中宋" w:cs="宋体"/>
          <w:color w:val="000000"/>
          <w:kern w:val="0"/>
          <w:sz w:val="24"/>
          <w:szCs w:val="21"/>
        </w:rPr>
        <w:t>XX</w:t>
      </w:r>
      <w:r>
        <w:rPr>
          <w:rFonts w:ascii="华文中宋" w:eastAsia="华文中宋" w:hAnsi="华文中宋" w:cs="宋体" w:hint="eastAsia"/>
          <w:color w:val="000000"/>
          <w:kern w:val="0"/>
          <w:sz w:val="24"/>
          <w:szCs w:val="21"/>
        </w:rPr>
        <w:t>课题组</w:t>
      </w:r>
      <w:r w:rsidRPr="00D3295C">
        <w:rPr>
          <w:rFonts w:ascii="华文中宋" w:eastAsia="华文中宋" w:hAnsi="华文中宋" w:cs="宋体" w:hint="eastAsia"/>
          <w:color w:val="000000"/>
          <w:kern w:val="0"/>
          <w:sz w:val="24"/>
          <w:szCs w:val="21"/>
        </w:rPr>
        <w:t>做了大量电化学试验</w:t>
      </w:r>
      <w:r>
        <w:rPr>
          <w:rFonts w:ascii="华文中宋" w:eastAsia="华文中宋" w:hAnsi="华文中宋" w:cs="宋体" w:hint="eastAsia"/>
          <w:color w:val="000000"/>
          <w:kern w:val="0"/>
          <w:sz w:val="24"/>
          <w:szCs w:val="21"/>
        </w:rPr>
        <w:t>提供基础数据</w:t>
      </w:r>
      <w:r w:rsidRPr="00D3295C">
        <w:rPr>
          <w:rFonts w:ascii="华文中宋" w:eastAsia="华文中宋" w:hAnsi="华文中宋" w:cs="宋体" w:hint="eastAsia"/>
          <w:color w:val="000000"/>
          <w:kern w:val="0"/>
          <w:sz w:val="24"/>
          <w:szCs w:val="21"/>
        </w:rPr>
        <w:t>。大桥建设工程指挥部最后采取了钢管桩不增厚而应用牺牲阳极保护设计——牺牲阳极附着在钢管桩底形成微电池原理先于铁基被海水腐蚀</w:t>
      </w:r>
      <w:proofErr w:type="gramStart"/>
      <w:r w:rsidRPr="00D3295C">
        <w:rPr>
          <w:rFonts w:ascii="华文中宋" w:eastAsia="华文中宋" w:hAnsi="华文中宋" w:cs="宋体" w:hint="eastAsia"/>
          <w:color w:val="000000"/>
          <w:kern w:val="0"/>
          <w:sz w:val="24"/>
          <w:szCs w:val="21"/>
        </w:rPr>
        <w:t>掉以及</w:t>
      </w:r>
      <w:proofErr w:type="gramEnd"/>
      <w:r w:rsidRPr="00D3295C">
        <w:rPr>
          <w:rFonts w:ascii="华文中宋" w:eastAsia="华文中宋" w:hAnsi="华文中宋" w:cs="宋体" w:hint="eastAsia"/>
          <w:color w:val="000000"/>
          <w:kern w:val="0"/>
          <w:sz w:val="24"/>
          <w:szCs w:val="21"/>
        </w:rPr>
        <w:t>穿“防护衣”——</w:t>
      </w:r>
      <w:proofErr w:type="gramStart"/>
      <w:r w:rsidRPr="00D3295C">
        <w:rPr>
          <w:rFonts w:ascii="华文中宋" w:eastAsia="华文中宋" w:hAnsi="华文中宋" w:cs="宋体" w:hint="eastAsia"/>
          <w:color w:val="000000"/>
          <w:kern w:val="0"/>
          <w:sz w:val="24"/>
          <w:szCs w:val="21"/>
        </w:rPr>
        <w:t>涂环氧层</w:t>
      </w:r>
      <w:proofErr w:type="gramEnd"/>
      <w:r w:rsidRPr="00D3295C">
        <w:rPr>
          <w:rFonts w:ascii="华文中宋" w:eastAsia="华文中宋" w:hAnsi="华文中宋" w:cs="宋体" w:hint="eastAsia"/>
          <w:color w:val="000000"/>
          <w:kern w:val="0"/>
          <w:sz w:val="24"/>
          <w:szCs w:val="21"/>
        </w:rPr>
        <w:t>等彻底解决办法，两桥共节约原材料等成本</w:t>
      </w:r>
      <w:r>
        <w:rPr>
          <w:rFonts w:ascii="华文中宋" w:eastAsia="华文中宋" w:hAnsi="华文中宋" w:cs="宋体"/>
          <w:color w:val="000000"/>
          <w:kern w:val="0"/>
          <w:sz w:val="24"/>
          <w:szCs w:val="21"/>
        </w:rPr>
        <w:t>XXX</w:t>
      </w:r>
      <w:r w:rsidRPr="00D3295C">
        <w:rPr>
          <w:rFonts w:ascii="华文中宋" w:eastAsia="华文中宋" w:hAnsi="华文中宋" w:cs="宋体" w:hint="eastAsia"/>
          <w:color w:val="000000"/>
          <w:kern w:val="0"/>
          <w:sz w:val="24"/>
          <w:szCs w:val="21"/>
        </w:rPr>
        <w:t>元。</w:t>
      </w:r>
    </w:p>
    <w:p w:rsidR="00411503" w:rsidRPr="00D3295C" w:rsidRDefault="00411503" w:rsidP="00411503">
      <w:pPr>
        <w:widowControl/>
        <w:adjustRightInd w:val="0"/>
        <w:snapToGrid w:val="0"/>
        <w:spacing w:line="360" w:lineRule="auto"/>
        <w:ind w:firstLineChars="200" w:firstLine="480"/>
        <w:jc w:val="left"/>
        <w:rPr>
          <w:rFonts w:ascii="华文中宋" w:eastAsia="华文中宋" w:hAnsi="华文中宋" w:cs="宋体"/>
          <w:kern w:val="0"/>
          <w:sz w:val="24"/>
        </w:rPr>
      </w:pPr>
      <w:proofErr w:type="gramStart"/>
      <w:r w:rsidRPr="00D3295C">
        <w:rPr>
          <w:rFonts w:ascii="华文中宋" w:eastAsia="华文中宋" w:hAnsi="华文中宋" w:cs="宋体" w:hint="eastAsia"/>
          <w:color w:val="000000"/>
          <w:kern w:val="0"/>
          <w:sz w:val="24"/>
        </w:rPr>
        <w:t>铝锌锡铟钛牺牲阳极</w:t>
      </w:r>
      <w:proofErr w:type="gramEnd"/>
      <w:r w:rsidRPr="00D3295C">
        <w:rPr>
          <w:rFonts w:ascii="华文中宋" w:eastAsia="华文中宋" w:hAnsi="华文中宋" w:cs="宋体" w:hint="eastAsia"/>
          <w:color w:val="000000"/>
          <w:kern w:val="0"/>
          <w:sz w:val="24"/>
        </w:rPr>
        <w:t>其质量和组成元素含量范围和杂质元素量休戚相关。通过上海</w:t>
      </w:r>
      <w:r>
        <w:rPr>
          <w:rFonts w:ascii="华文中宋" w:eastAsia="华文中宋" w:hAnsi="华文中宋" w:cs="宋体" w:hint="eastAsia"/>
          <w:color w:val="000000"/>
          <w:kern w:val="0"/>
          <w:sz w:val="24"/>
        </w:rPr>
        <w:t>理工大学分析测试中心</w:t>
      </w:r>
      <w:r w:rsidRPr="00D3295C">
        <w:rPr>
          <w:rFonts w:ascii="华文中宋" w:eastAsia="华文中宋" w:hAnsi="华文中宋" w:cs="宋体" w:hint="eastAsia"/>
          <w:color w:val="000000"/>
          <w:kern w:val="0"/>
          <w:sz w:val="24"/>
        </w:rPr>
        <w:t>，经采用国际先进的</w:t>
      </w:r>
      <w:r>
        <w:rPr>
          <w:rFonts w:ascii="华文中宋" w:eastAsia="华文中宋" w:hAnsi="华文中宋" w:cs="宋体"/>
          <w:color w:val="000000"/>
          <w:kern w:val="0"/>
          <w:sz w:val="24"/>
        </w:rPr>
        <w:t>XXX</w:t>
      </w:r>
      <w:r>
        <w:rPr>
          <w:rFonts w:ascii="华文中宋" w:eastAsia="华文中宋" w:hAnsi="华文中宋" w:cs="宋体" w:hint="eastAsia"/>
          <w:color w:val="000000"/>
          <w:kern w:val="0"/>
          <w:sz w:val="24"/>
        </w:rPr>
        <w:t>仪器和X</w:t>
      </w:r>
      <w:r>
        <w:rPr>
          <w:rFonts w:ascii="华文中宋" w:eastAsia="华文中宋" w:hAnsi="华文中宋" w:cs="宋体"/>
          <w:color w:val="000000"/>
          <w:kern w:val="0"/>
          <w:sz w:val="24"/>
        </w:rPr>
        <w:t>XX</w:t>
      </w:r>
      <w:r>
        <w:rPr>
          <w:rFonts w:ascii="华文中宋" w:eastAsia="华文中宋" w:hAnsi="华文中宋" w:cs="宋体" w:hint="eastAsia"/>
          <w:color w:val="000000"/>
          <w:kern w:val="0"/>
          <w:sz w:val="24"/>
        </w:rPr>
        <w:t>仪器</w:t>
      </w:r>
      <w:r w:rsidRPr="00D3295C">
        <w:rPr>
          <w:rFonts w:ascii="华文中宋" w:eastAsia="华文中宋" w:hAnsi="华文中宋" w:cs="宋体" w:hint="eastAsia"/>
          <w:color w:val="000000"/>
          <w:kern w:val="0"/>
          <w:sz w:val="24"/>
        </w:rPr>
        <w:t>，使得测量速度和精确度大大提高。避免使用不合格产品。东海大桥经几年正常运行。我们的工作对维护两大桥的质量起到至关重要的作用。</w:t>
      </w:r>
    </w:p>
    <w:p w:rsidR="00411503" w:rsidRDefault="00411503" w:rsidP="00411503">
      <w:pPr>
        <w:widowControl/>
        <w:adjustRightInd w:val="0"/>
        <w:snapToGrid w:val="0"/>
        <w:spacing w:line="360" w:lineRule="auto"/>
        <w:ind w:firstLine="480"/>
        <w:jc w:val="left"/>
        <w:rPr>
          <w:rFonts w:ascii="华文中宋" w:eastAsia="华文中宋" w:hAnsi="华文中宋" w:cs="宋体"/>
          <w:kern w:val="0"/>
          <w:sz w:val="24"/>
        </w:rPr>
      </w:pPr>
      <w:r w:rsidRPr="00D3295C">
        <w:rPr>
          <w:rFonts w:ascii="华文中宋" w:eastAsia="华文中宋" w:hAnsi="华文中宋" w:cs="宋体" w:hint="eastAsia"/>
          <w:kern w:val="0"/>
          <w:sz w:val="24"/>
        </w:rPr>
        <w:t>无论是血缘还是人文都渊源极深的两座城市</w:t>
      </w:r>
      <w:r w:rsidRPr="00D3295C">
        <w:rPr>
          <w:rFonts w:ascii="华文中宋" w:eastAsia="华文中宋" w:hAnsi="华文中宋" w:hint="eastAsia"/>
          <w:kern w:val="0"/>
          <w:sz w:val="24"/>
        </w:rPr>
        <w:t>——</w:t>
      </w:r>
      <w:r w:rsidRPr="00D3295C">
        <w:rPr>
          <w:rFonts w:ascii="华文中宋" w:eastAsia="华文中宋" w:hAnsi="华文中宋" w:cs="宋体" w:hint="eastAsia"/>
          <w:kern w:val="0"/>
          <w:sz w:val="24"/>
        </w:rPr>
        <w:t>上海和宁波的陆路距离缩短约</w:t>
      </w:r>
      <w:r w:rsidRPr="00D3295C">
        <w:rPr>
          <w:rFonts w:ascii="华文中宋" w:eastAsia="华文中宋" w:hAnsi="华文中宋" w:hint="eastAsia"/>
          <w:kern w:val="0"/>
          <w:sz w:val="24"/>
        </w:rPr>
        <w:t>120</w:t>
      </w:r>
      <w:r w:rsidRPr="00D3295C">
        <w:rPr>
          <w:rFonts w:ascii="华文中宋" w:eastAsia="华文中宋" w:hAnsi="华文中宋" w:cs="宋体" w:hint="eastAsia"/>
          <w:kern w:val="0"/>
          <w:sz w:val="24"/>
        </w:rPr>
        <w:t>公里。</w:t>
      </w:r>
      <w:r w:rsidRPr="00D3295C">
        <w:rPr>
          <w:rFonts w:ascii="华文中宋" w:eastAsia="华文中宋" w:hAnsi="华文中宋" w:cs="宋体" w:hint="eastAsia"/>
          <w:color w:val="000000"/>
          <w:kern w:val="0"/>
          <w:sz w:val="24"/>
          <w:szCs w:val="21"/>
        </w:rPr>
        <w:t>东海</w:t>
      </w:r>
      <w:r w:rsidRPr="00D3295C">
        <w:rPr>
          <w:rFonts w:ascii="华文中宋" w:eastAsia="华文中宋" w:hAnsi="华文中宋" w:cs="宋体" w:hint="eastAsia"/>
          <w:kern w:val="0"/>
          <w:sz w:val="24"/>
        </w:rPr>
        <w:t>大桥的</w:t>
      </w:r>
      <w:proofErr w:type="gramStart"/>
      <w:r w:rsidRPr="00D3295C">
        <w:rPr>
          <w:rFonts w:ascii="华文中宋" w:eastAsia="华文中宋" w:hAnsi="华文中宋" w:cs="宋体" w:hint="eastAsia"/>
          <w:kern w:val="0"/>
          <w:sz w:val="24"/>
        </w:rPr>
        <w:t>最大主</w:t>
      </w:r>
      <w:proofErr w:type="gramEnd"/>
      <w:r w:rsidRPr="00D3295C">
        <w:rPr>
          <w:rFonts w:ascii="华文中宋" w:eastAsia="华文中宋" w:hAnsi="华文中宋" w:cs="宋体" w:hint="eastAsia"/>
          <w:kern w:val="0"/>
          <w:sz w:val="24"/>
        </w:rPr>
        <w:t>航通孔，离海面净高达</w:t>
      </w:r>
      <w:smartTag w:uri="urn:schemas-microsoft-com:office:smarttags" w:element="chmetcnv">
        <w:smartTagPr>
          <w:attr w:name="TCSC" w:val="0"/>
          <w:attr w:name="NumberType" w:val="1"/>
          <w:attr w:name="Negative" w:val="False"/>
          <w:attr w:name="HasSpace" w:val="False"/>
          <w:attr w:name="SourceValue" w:val="40"/>
          <w:attr w:name="UnitName" w:val="米"/>
        </w:smartTagPr>
        <w:r w:rsidRPr="00D3295C">
          <w:rPr>
            <w:rFonts w:ascii="华文中宋" w:eastAsia="华文中宋" w:hAnsi="华文中宋" w:hint="eastAsia"/>
            <w:kern w:val="0"/>
            <w:sz w:val="24"/>
          </w:rPr>
          <w:t>40</w:t>
        </w:r>
        <w:r w:rsidRPr="00D3295C">
          <w:rPr>
            <w:rFonts w:ascii="华文中宋" w:eastAsia="华文中宋" w:hAnsi="华文中宋" w:cs="宋体" w:hint="eastAsia"/>
            <w:kern w:val="0"/>
            <w:sz w:val="24"/>
          </w:rPr>
          <w:t>米</w:t>
        </w:r>
      </w:smartTag>
      <w:r w:rsidRPr="00D3295C">
        <w:rPr>
          <w:rFonts w:ascii="华文中宋" w:eastAsia="华文中宋" w:hAnsi="华文中宋" w:cs="宋体" w:hint="eastAsia"/>
          <w:kern w:val="0"/>
          <w:sz w:val="24"/>
        </w:rPr>
        <w:t>，可满足万吨级货轮的通航要求。为洋山深水港开港，加快上海国际航运中心的建设奠定了基础。杭州湾跨海大桥</w:t>
      </w:r>
      <w:r w:rsidRPr="00D3295C">
        <w:rPr>
          <w:rFonts w:ascii="华文中宋" w:eastAsia="华文中宋" w:hAnsi="华文中宋" w:hint="eastAsia"/>
          <w:kern w:val="0"/>
          <w:sz w:val="24"/>
        </w:rPr>
        <w:t>08</w:t>
      </w:r>
      <w:r w:rsidRPr="00D3295C">
        <w:rPr>
          <w:rFonts w:ascii="华文中宋" w:eastAsia="华文中宋" w:hAnsi="华文中宋" w:cs="宋体" w:hint="eastAsia"/>
          <w:kern w:val="0"/>
          <w:sz w:val="24"/>
        </w:rPr>
        <w:t>年奥运会前将正式通车</w:t>
      </w:r>
      <w:r w:rsidRPr="00D3295C">
        <w:rPr>
          <w:rFonts w:ascii="华文中宋" w:eastAsia="华文中宋" w:hAnsi="华文中宋" w:cs="宋体" w:hint="eastAsia"/>
          <w:color w:val="000000"/>
          <w:kern w:val="0"/>
          <w:sz w:val="24"/>
          <w:szCs w:val="21"/>
        </w:rPr>
        <w:t>，</w:t>
      </w:r>
      <w:r w:rsidRPr="00D3295C">
        <w:rPr>
          <w:rFonts w:ascii="华文中宋" w:eastAsia="华文中宋" w:hAnsi="华文中宋" w:cs="宋体" w:hint="eastAsia"/>
          <w:kern w:val="0"/>
          <w:sz w:val="24"/>
        </w:rPr>
        <w:t>与东海大桥珠连壁合；使长江三角洲龙头作用得以极大地凝聚和发挥；三角洲一体化经济向全国辐射更加迅速。</w:t>
      </w:r>
    </w:p>
    <w:p w:rsidR="00411503" w:rsidRDefault="00411503" w:rsidP="00411503">
      <w:pPr>
        <w:widowControl/>
        <w:shd w:val="clear" w:color="auto" w:fill="FFFFFF"/>
        <w:adjustRightInd w:val="0"/>
        <w:snapToGrid w:val="0"/>
        <w:spacing w:line="276" w:lineRule="auto"/>
        <w:jc w:val="right"/>
        <w:rPr>
          <w:rFonts w:ascii="华文中宋" w:eastAsia="华文中宋" w:hAnsi="华文中宋" w:cs="宋体"/>
          <w:kern w:val="0"/>
          <w:sz w:val="24"/>
        </w:rPr>
      </w:pPr>
    </w:p>
    <w:p w:rsidR="00411503" w:rsidRPr="004A12E3" w:rsidRDefault="00411503" w:rsidP="00411503">
      <w:pPr>
        <w:widowControl/>
        <w:shd w:val="clear" w:color="auto" w:fill="FFFFFF"/>
        <w:adjustRightInd w:val="0"/>
        <w:snapToGrid w:val="0"/>
        <w:spacing w:line="276" w:lineRule="auto"/>
        <w:jc w:val="right"/>
      </w:pPr>
      <w:r>
        <w:rPr>
          <w:rFonts w:ascii="华文中宋" w:eastAsia="华文中宋" w:hAnsi="华文中宋" w:cs="宋体" w:hint="eastAsia"/>
          <w:kern w:val="0"/>
          <w:sz w:val="24"/>
        </w:rPr>
        <w:t>X</w:t>
      </w:r>
      <w:r>
        <w:rPr>
          <w:rFonts w:ascii="华文中宋" w:eastAsia="华文中宋" w:hAnsi="华文中宋" w:cs="宋体"/>
          <w:kern w:val="0"/>
          <w:sz w:val="24"/>
        </w:rPr>
        <w:t>XX</w:t>
      </w:r>
      <w:r>
        <w:rPr>
          <w:rFonts w:ascii="华文中宋" w:eastAsia="华文中宋" w:hAnsi="华文中宋" w:cs="宋体" w:hint="eastAsia"/>
          <w:kern w:val="0"/>
          <w:sz w:val="24"/>
        </w:rPr>
        <w:t>课题组</w:t>
      </w:r>
    </w:p>
    <w:p w:rsidR="000853F6" w:rsidRDefault="000853F6"/>
    <w:sectPr w:rsidR="000853F6" w:rsidSect="005904BE">
      <w:pgSz w:w="11906" w:h="16838"/>
      <w:pgMar w:top="993"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03"/>
    <w:rsid w:val="000853F6"/>
    <w:rsid w:val="00411503"/>
    <w:rsid w:val="00A97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3A4BC9FC"/>
  <w15:chartTrackingRefBased/>
  <w15:docId w15:val="{EDE9FBD3-7A30-4212-9500-C9AF4B70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Company>上海理工大学</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unicorn</dc:creator>
  <cp:keywords/>
  <dc:description/>
  <cp:lastModifiedBy>unicorn</cp:lastModifiedBy>
  <cp:revision>2</cp:revision>
  <dcterms:created xsi:type="dcterms:W3CDTF">2024-12-20T06:46:00Z</dcterms:created>
  <dcterms:modified xsi:type="dcterms:W3CDTF">2024-12-20T06:46:00Z</dcterms:modified>
</cp:coreProperties>
</file>